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615950</wp:posOffset>
            </wp:positionV>
            <wp:extent cx="711835" cy="615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6214110</wp:posOffset>
            </wp:positionH>
            <wp:positionV relativeFrom="page">
              <wp:posOffset>450215</wp:posOffset>
            </wp:positionV>
            <wp:extent cx="593725" cy="781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Број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 005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Датум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 08.01.2020.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године</w:t>
      </w: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ПОЗИВ ЗА ПОДНОШЕЊЕ ПОНУДЕ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28549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225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2854960</wp:posOffset>
                </wp:positionV>
                <wp:extent cx="58566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24.8pt" to="468.6pt,224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3175</wp:posOffset>
                </wp:positionV>
                <wp:extent cx="0" cy="28549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0.25pt" to="468.35pt,225.05pt" o:allowincell="f" strokecolor="#000000" strokeweight="0.4799pt"/>
            </w:pict>
          </mc:Fallback>
        </mc:AlternateConten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Назив наручиоца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tcBorders>
              <w:top w:val="single" w:sz="8" w:color="auto"/>
            </w:tcBorders>
            <w:shd w:val="clear" w:color="auto" w:fill="DAEEF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Јавно предузеће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„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Национални парк Ђердап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3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Адреса наручиоца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shd w:val="clear" w:color="auto" w:fill="DAEEF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Доњи Милановац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Краља Петра Првог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6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 страница наручиоца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shd w:val="clear" w:color="auto" w:fill="DAEEF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www.npdjerdap.org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6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 наручиоца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shd w:val="clear" w:color="auto" w:fill="DAEEF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Државна јавна предузећа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7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 поступка јавне набавке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shd w:val="clear" w:color="auto" w:fill="DAEEF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Јавна набавка мале вредности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6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 предмета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4980" w:type="dxa"/>
            <w:vAlign w:val="bottom"/>
            <w:shd w:val="clear" w:color="auto" w:fill="DAEEF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6"/>
        </w:trPr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 добра и услуге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 предмета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 ознака из општег речника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 радове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природа и обим радова и основна обележја радова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извршења радова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ознака из класификације делатности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назив и ознака из општег речника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86360</wp:posOffset>
            </wp:positionV>
            <wp:extent cx="5856605" cy="3625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 јавне набавке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је набавка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електрична енергија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 ознака из општег речника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електрична енергија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- 09310000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85725</wp:posOffset>
            </wp:positionV>
            <wp:extent cx="5856605" cy="3708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 партија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се се предмет набавке обликује у више партија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 јавне набавке није обликован по партијама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5384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49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620395</wp:posOffset>
                </wp:positionV>
                <wp:extent cx="58566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8.85pt" to="468.6pt,48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5384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49.1pt" o:allowincell="f" strokecolor="#000000" strokeweight="0.4799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left="260"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Посебна напомена ако је уговор о јавној набавци резервисан за установе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организације или привредне субјекте за радно оспособљавање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професионалну рехабилитацију и запошљавање инвалидних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86360</wp:posOffset>
            </wp:positionV>
            <wp:extent cx="5856605" cy="1873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18796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21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18796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21.5pt" o:allowincell="f" strokecolor="#000000" strokeweight="0.4799pt"/>
            </w:pict>
          </mc:Fallback>
        </mc:AlternateConten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случају преговарачког поступка разлог за примену и основ из закона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5660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68.6pt,0.7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85725</wp:posOffset>
            </wp:positionV>
            <wp:extent cx="5856605" cy="1873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90170</wp:posOffset>
                </wp:positionV>
                <wp:extent cx="585660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1pt" to="468.6pt,7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86995</wp:posOffset>
                </wp:positionV>
                <wp:extent cx="0" cy="36322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85pt" to="7.7pt,3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86995</wp:posOffset>
                </wp:positionV>
                <wp:extent cx="0" cy="3632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85pt" to="468.35pt,35.45pt" o:allowincell="f" strokecolor="#000000" strokeweight="0.4799pt"/>
            </w:pict>
          </mc:Fallback>
        </mc:AlternateConten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jc w:val="both"/>
        <w:ind w:left="2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се закључује оквирни споразум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време трајања оквирног споразума и број понуђача са којим наручилац закључује оквирни споразум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58566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5pt" to="468.6pt,0.85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86995</wp:posOffset>
            </wp:positionV>
            <wp:extent cx="5856605" cy="1873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53784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4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53784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49.05pt" o:allowincell="f" strokecolor="#000000" strokeweight="0.4799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left="260" w:right="120" w:firstLine="2"/>
        <w:spacing w:after="0" w:line="236" w:lineRule="auto"/>
        <w:tabs>
          <w:tab w:leader="none" w:pos="57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случају подношења електронске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примене електронске лицитације или система динамичне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основни подаци о информационом систему наручиоца и неопходним техничким условима за учешће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85660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68.6pt,0.8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86360</wp:posOffset>
            </wp:positionV>
            <wp:extent cx="5856605" cy="1873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18923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2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1892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21.6pt" o:allowincell="f" strokecolor="#000000" strokeweight="0.4799pt"/>
            </w:pict>
          </mc:Fallback>
        </mc:AlternateConten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случају примене система динамичне набавке рок трајања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5660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68.6pt,0.7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85725</wp:posOffset>
            </wp:positionV>
            <wp:extent cx="5856605" cy="1873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3632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3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36322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35.3pt" o:allowincell="f" strokecolor="#000000" strokeweight="0.4799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260" w:right="120" w:firstLine="2"/>
        <w:spacing w:after="0" w:line="234" w:lineRule="auto"/>
        <w:tabs>
          <w:tab w:leader="none" w:pos="53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случају обавезе подношења понуде са подизвођачем проценат вредности набавке који се извршава преко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85660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68.6pt,0.8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86995</wp:posOffset>
            </wp:positionV>
            <wp:extent cx="5856605" cy="1873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90170</wp:posOffset>
                </wp:positionV>
                <wp:extent cx="585978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7.1pt" to="468.35pt,7.1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380"/>
          </w:cols>
          <w:pgMar w:left="1440" w:top="1440" w:right="1086" w:bottom="1058" w:gutter="0" w:footer="0" w:header="0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449580</wp:posOffset>
            </wp:positionV>
            <wp:extent cx="5856605" cy="4495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Критеријум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елементи критеријума за доделу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критеријум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најнижа понуђена цена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585660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.95pt" to="468.6pt,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85090</wp:posOffset>
                </wp:positionV>
                <wp:extent cx="0" cy="36322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7pt" to="7.7pt,3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445135</wp:posOffset>
                </wp:positionV>
                <wp:extent cx="585660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5.05pt" to="468.6pt,35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85090</wp:posOffset>
                </wp:positionV>
                <wp:extent cx="0" cy="36322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7pt" to="468.35pt,35.3pt" o:allowincell="f" strokecolor="#000000" strokeweight="0.4799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2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Начин преузимања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интернет адрес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је конкурсна документација доступна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86360</wp:posOffset>
            </wp:positionV>
            <wp:extent cx="5856605" cy="71310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 јавних набавки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portal.ujn.gov.rs;</w:t>
      </w: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Интернет страница наручиоца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(www.npdjerdap.org);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760" w:firstLine="2"/>
        <w:spacing w:after="0" w:line="234" w:lineRule="auto"/>
        <w:tabs>
          <w:tab w:leader="none" w:pos="39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Непосредно преузимањем на адреси Краља Петра Првог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14a,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сваког радног дана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понедељак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периоду 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7.30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14.30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162560</wp:posOffset>
                </wp:positionV>
                <wp:extent cx="585660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.8pt" to="468.6pt,1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159385</wp:posOffset>
                </wp:positionV>
                <wp:extent cx="0" cy="18732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2.55pt" to="7.7pt,27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344170</wp:posOffset>
                </wp:positionV>
                <wp:extent cx="585660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7.1pt" to="468.6pt,27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159385</wp:posOffset>
                </wp:positionV>
                <wp:extent cx="0" cy="18732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12.55pt" to="468.35pt,27.3pt" o:allowincell="f" strokecolor="#000000" strokeweight="0.4799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Начин подношења понуде и рок за подношење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85725</wp:posOffset>
            </wp:positionV>
            <wp:extent cx="5856605" cy="264160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Понуђачи подносе понуде у затвореној и печатираној коверти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препорученом пошиљком или лично на адресу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Национални парк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 19220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Првог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назнаком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Понуда за јавну набавку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електрична енергија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.“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На полеђини коверте навести назив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адресу и 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као и име и презиме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овлашћеног лица за контакт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РОК ЗА ПОДНОШЕЊЕ ПОНУДА 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16.01.2020.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године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Понуда се сматра благовременом ако је у писарницу наручиоца на адреси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Краља Петра Првог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пристигла закључно са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16.01.2020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године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12,00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Неблаговременом ће се сматрати понуда понуђача која није стигла у писарницу наручиоца на адреси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Краља Петра Првог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а закључно са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16.01.2020.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године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12,00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86995</wp:posOffset>
            </wp:positionV>
            <wp:extent cx="5856605" cy="9740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време и начин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време и начин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Отварање понуда је јавно и одржаће се одмах након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16.01.2020.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године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12,15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DAEEF3"/>
        </w:rPr>
        <w:t>часова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на адреси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Краља Петра Првог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у присуству чланова Комисије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предметну јавну набавку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89535</wp:posOffset>
                </wp:positionV>
                <wp:extent cx="585660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05pt" to="468.6pt,7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86360</wp:posOffset>
                </wp:positionV>
                <wp:extent cx="0" cy="36258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6.8pt" to="7.7pt,3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86360</wp:posOffset>
                </wp:positionV>
                <wp:extent cx="0" cy="36258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35pt,6.8pt" to="468.35pt,35.35pt" o:allowincell="f" strokecolor="#000000" strokeweight="0.4799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7620</wp:posOffset>
            </wp:positionV>
            <wp:extent cx="5856605" cy="1143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7620</wp:posOffset>
            </wp:positionV>
            <wp:extent cx="5856605" cy="11436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У поступку отварања понуда могу учествовати опуномоћени представници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Пре почетка поступка јавног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представници понуђача који ће присуствовати поступку отварања понуда дужни су да наручиоцу предају писмена пуномоћја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  <w:shd w:val="clear" w:color="auto" w:fill="DAEEF3"/>
        </w:rPr>
        <w:t xml:space="preserve"> на основу којих ће доказати овлашћење за учешће у поступку јавног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отварања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4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Рок за доношење одлуке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5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Најкасније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дана од дана отварања понуда</w:t>
            </w:r>
          </w:p>
        </w:tc>
      </w:tr>
      <w:tr>
        <w:trPr>
          <w:trHeight w:val="286"/>
        </w:trPr>
        <w:tc>
          <w:tcPr>
            <w:tcW w:w="4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5"/>
        </w:trPr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Лице за контакт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500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Зоран Косић</w:t>
            </w:r>
          </w:p>
        </w:tc>
      </w:tr>
      <w:tr>
        <w:trPr>
          <w:trHeight w:val="276"/>
        </w:trPr>
        <w:tc>
          <w:tcPr>
            <w:tcW w:w="4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телефон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064/8569270,</w:t>
            </w:r>
          </w:p>
        </w:tc>
      </w:tr>
      <w:tr>
        <w:trPr>
          <w:trHeight w:val="276"/>
        </w:trPr>
        <w:tc>
          <w:tcPr>
            <w:tcW w:w="4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right w:val="single" w:sz="8" w:color="auto"/>
            </w:tcBorders>
            <w:shd w:val="clear" w:color="auto" w:fill="DAEE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 xml:space="preserve">сваког  радног  дана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 xml:space="preserve">понедељак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 xml:space="preserve">  петак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DAEEF3"/>
              </w:rPr>
              <w:t xml:space="preserve">  од</w:t>
            </w:r>
          </w:p>
        </w:tc>
      </w:tr>
      <w:tr>
        <w:trPr>
          <w:trHeight w:val="284"/>
        </w:trPr>
        <w:tc>
          <w:tcPr>
            <w:tcW w:w="4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7,30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14,30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часова</w:t>
            </w:r>
          </w:p>
        </w:tc>
      </w:tr>
      <w:tr>
        <w:trPr>
          <w:trHeight w:val="107"/>
        </w:trPr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1"/>
        </w:trPr>
        <w:tc>
          <w:tcPr>
            <w:tcW w:w="4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Остале информације</w:t>
            </w: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10"/>
        </w:trPr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1"/>
        </w:trPr>
        <w:tc>
          <w:tcPr>
            <w:tcW w:w="4240" w:type="dxa"/>
            <w:vAlign w:val="bottom"/>
            <w:tcBorders>
              <w:left w:val="single" w:sz="8" w:color="auto"/>
              <w:bottom w:val="single" w:sz="8" w:color="auto"/>
              <w:right w:val="single" w:sz="8" w:color="DAEEF3"/>
            </w:tcBorders>
            <w:shd w:val="clear" w:color="auto" w:fill="DAEEF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AEE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380"/>
      </w:cols>
      <w:pgMar w:left="1440" w:top="710" w:right="10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У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У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2020-01-10T08:16:54Z</dcterms:created>
  <dcterms:modified xsi:type="dcterms:W3CDTF">2020-01-10T08:16:54Z</dcterms:modified>
</cp:coreProperties>
</file>